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56"/>
        </w:rPr>
        <w:t>ISEC</w:t>
      </w:r>
    </w:p>
    <w:p>
      <w:pPr>
        <w:jc w:val="center"/>
      </w:pPr>
      <w:r>
        <w:rPr>
          <w:b/>
        </w:rPr>
        <w:t>International Standards &amp; Excellence Compliance</w:t>
      </w:r>
    </w:p>
    <w:p>
      <w:pPr>
        <w:jc w:val="center"/>
      </w:pPr>
      <w:r>
        <w:rPr>
          <w:b/>
          <w:sz w:val="36"/>
        </w:rPr>
        <w:br/>
        <w:t>EVIDENCE MATRIX &amp; INSTITUTIONAL SELF-EVALUATION FRAMEWORK</w:t>
      </w:r>
    </w:p>
    <w:p>
      <w:pPr>
        <w:jc w:val="center"/>
      </w:pPr>
      <w:r>
        <w:rPr>
          <w:i/>
        </w:rPr>
        <w:t>ISEC-EMX-2026</w:t>
        <w:br/>
        <w:t>First Edition — Working Master</w:t>
        <w:br/>
        <w:t>For ISEC 101:2026 Institutional Accreditation</w:t>
      </w:r>
    </w:p>
    <w:p>
      <w:r>
        <w:br w:type="page"/>
      </w:r>
    </w:p>
    <w:p>
      <w:pPr>
        <w:pStyle w:val="Heading1"/>
      </w:pPr>
      <w:r>
        <w:t>Document Control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Number</w:t>
            </w:r>
          </w:p>
        </w:tc>
        <w:tc>
          <w:tcPr>
            <w:tcW w:type="dxa" w:w="4320"/>
          </w:tcPr>
          <w:p>
            <w:r>
              <w:t>ISEC-EMX-2026</w:t>
            </w:r>
          </w:p>
        </w:tc>
      </w:tr>
      <w:tr>
        <w:tc>
          <w:tcPr>
            <w:tcW w:type="dxa" w:w="4320"/>
          </w:tcPr>
          <w:p>
            <w:r>
              <w:t>Title</w:t>
            </w:r>
          </w:p>
        </w:tc>
        <w:tc>
          <w:tcPr>
            <w:tcW w:type="dxa" w:w="4320"/>
          </w:tcPr>
          <w:p>
            <w:r>
              <w:t>Evidence Matrix &amp; Institutional Self-Evaluation Framework</w:t>
            </w:r>
          </w:p>
        </w:tc>
      </w:tr>
      <w:tr>
        <w:tc>
          <w:tcPr>
            <w:tcW w:type="dxa" w:w="4320"/>
          </w:tcPr>
          <w:p>
            <w:r>
              <w:t>Edition</w:t>
            </w:r>
          </w:p>
        </w:tc>
        <w:tc>
          <w:tcPr>
            <w:tcW w:type="dxa" w:w="4320"/>
          </w:tcPr>
          <w:p>
            <w:r>
              <w:t>First Edition</w:t>
            </w:r>
          </w:p>
        </w:tc>
      </w:tr>
      <w:tr>
        <w:tc>
          <w:tcPr>
            <w:tcW w:type="dxa" w:w="4320"/>
          </w:tcPr>
          <w:p>
            <w:r>
              <w:t>Year</w:t>
            </w:r>
          </w:p>
        </w:tc>
        <w:tc>
          <w:tcPr>
            <w:tcW w:type="dxa" w:w="4320"/>
          </w:tcPr>
          <w:p>
            <w:r>
              <w:t>2026</w:t>
            </w:r>
          </w:p>
        </w:tc>
      </w:tr>
      <w:tr>
        <w:tc>
          <w:tcPr>
            <w:tcW w:type="dxa" w:w="4320"/>
          </w:tcPr>
          <w:p>
            <w:r>
              <w:t>Status</w:t>
            </w:r>
          </w:p>
        </w:tc>
        <w:tc>
          <w:tcPr>
            <w:tcW w:type="dxa" w:w="4320"/>
          </w:tcPr>
          <w:p>
            <w:r>
              <w:t>Working Master — Development Edition</w:t>
            </w:r>
          </w:p>
        </w:tc>
      </w:tr>
      <w:tr>
        <w:tc>
          <w:tcPr>
            <w:tcW w:type="dxa" w:w="4320"/>
          </w:tcPr>
          <w:p>
            <w:r>
              <w:t>Owner</w:t>
            </w:r>
          </w:p>
        </w:tc>
        <w:tc>
          <w:tcPr>
            <w:tcW w:type="dxa" w:w="4320"/>
          </w:tcPr>
          <w:p>
            <w:r>
              <w:t>ISEC</w:t>
            </w:r>
          </w:p>
        </w:tc>
      </w:tr>
      <w:tr>
        <w:tc>
          <w:tcPr>
            <w:tcW w:type="dxa" w:w="4320"/>
          </w:tcPr>
          <w:p>
            <w:r>
              <w:t>Related Standard</w:t>
            </w:r>
          </w:p>
        </w:tc>
        <w:tc>
          <w:tcPr>
            <w:tcW w:type="dxa" w:w="4320"/>
          </w:tcPr>
          <w:p>
            <w:r>
              <w:t>ISEC 101:2026</w:t>
            </w:r>
          </w:p>
        </w:tc>
      </w:tr>
    </w:tbl>
    <w:p>
      <w:pPr>
        <w:pStyle w:val="Heading1"/>
      </w:pPr>
      <w:r>
        <w:t>1. Purpose</w:t>
      </w:r>
    </w:p>
    <w:p>
      <w:r>
        <w:t>This document translates ISEC 101:2026 into an operational evidence map for institutions and evaluators. It identifies the principal evidence an institution may use to demonstrate conformity. It is a guide and does not replace the requirements of ISEC 101:2026.</w:t>
      </w:r>
    </w:p>
    <w:p>
      <w:pPr>
        <w:pStyle w:val="Heading1"/>
      </w:pPr>
      <w:r>
        <w:t>2. Evidence Principles</w:t>
      </w:r>
    </w:p>
    <w:p>
      <w:pPr>
        <w:pStyle w:val="ListBullet"/>
      </w:pPr>
      <w:r>
        <w:t>Evidence must be relevant to the requirement.</w:t>
      </w:r>
    </w:p>
    <w:p>
      <w:pPr>
        <w:pStyle w:val="ListBullet"/>
      </w:pPr>
      <w:r>
        <w:t>Evidence should demonstrate implementation where implementation is required.</w:t>
      </w:r>
    </w:p>
    <w:p>
      <w:pPr>
        <w:pStyle w:val="ListBullet"/>
      </w:pPr>
      <w:r>
        <w:t>Evidence should be sufficiently current for the subject being evaluated.</w:t>
      </w:r>
    </w:p>
    <w:p>
      <w:pPr>
        <w:pStyle w:val="ListBullet"/>
      </w:pPr>
      <w:r>
        <w:t>Evidence should be attributable to the institution.</w:t>
      </w:r>
    </w:p>
    <w:p>
      <w:pPr>
        <w:pStyle w:val="ListBullet"/>
      </w:pPr>
      <w:r>
        <w:t>Evidence should be internally consistent and reasonably verifiable.</w:t>
      </w:r>
    </w:p>
    <w:p>
      <w:pPr>
        <w:pStyle w:val="ListBullet"/>
      </w:pPr>
      <w:r>
        <w:t>Institutions should identify confidential or restricted material clearly.</w:t>
      </w:r>
    </w:p>
    <w:p>
      <w:pPr>
        <w:pStyle w:val="ListBullet"/>
      </w:pPr>
      <w:r>
        <w:t>Evaluators may request additional evidence where necessary.</w:t>
      </w:r>
    </w:p>
    <w:p>
      <w:pPr>
        <w:pStyle w:val="Heading1"/>
      </w:pPr>
      <w:r>
        <w:t>3. Master Evidence Matrix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ISEC 101:2026 Clause</w:t>
            </w:r>
          </w:p>
        </w:tc>
        <w:tc>
          <w:tcPr>
            <w:tcW w:type="dxa" w:w="4320"/>
          </w:tcPr>
          <w:p>
            <w:r>
              <w:t>Indicative Evidence</w:t>
            </w:r>
          </w:p>
        </w:tc>
      </w:tr>
      <w:tr>
        <w:tc>
          <w:tcPr>
            <w:tcW w:type="dxa" w:w="4320"/>
          </w:tcPr>
          <w:p>
            <w:r>
              <w:t>5. Institutional Eligibility and Legal Status</w:t>
            </w:r>
          </w:p>
        </w:tc>
        <w:tc>
          <w:tcPr>
            <w:tcW w:type="dxa" w:w="4320"/>
          </w:tcPr>
          <w:p>
            <w:r>
              <w:t>Legal identity; authority to operate; ownership/governance documents; institutional profile; scope statement; regulatory permissions where applicable</w:t>
            </w:r>
          </w:p>
        </w:tc>
      </w:tr>
      <w:tr>
        <w:tc>
          <w:tcPr>
            <w:tcW w:type="dxa" w:w="4320"/>
          </w:tcPr>
          <w:p>
            <w:r>
              <w:t>6. Governance and Leadership</w:t>
            </w:r>
          </w:p>
        </w:tc>
        <w:tc>
          <w:tcPr>
            <w:tcW w:type="dxa" w:w="4320"/>
          </w:tcPr>
          <w:p>
            <w:r>
              <w:t>Organizational chart; governance terms; role descriptions; meeting records; decision authority; conflict-of-interest controls</w:t>
            </w:r>
          </w:p>
        </w:tc>
      </w:tr>
      <w:tr>
        <w:tc>
          <w:tcPr>
            <w:tcW w:type="dxa" w:w="4320"/>
          </w:tcPr>
          <w:p>
            <w:r>
              <w:t>7. Mission, Vision and Strategic Planning</w:t>
            </w:r>
          </w:p>
        </w:tc>
        <w:tc>
          <w:tcPr>
            <w:tcW w:type="dxa" w:w="4320"/>
          </w:tcPr>
          <w:p>
            <w:r>
              <w:t>Mission/vision; strategic plan; objectives; KPIs; monitoring reports; management review records</w:t>
            </w:r>
          </w:p>
        </w:tc>
      </w:tr>
      <w:tr>
        <w:tc>
          <w:tcPr>
            <w:tcW w:type="dxa" w:w="4320"/>
          </w:tcPr>
          <w:p>
            <w:r>
              <w:t>8. Academic Governance</w:t>
            </w:r>
          </w:p>
        </w:tc>
        <w:tc>
          <w:tcPr>
            <w:tcW w:type="dxa" w:w="4320"/>
          </w:tcPr>
          <w:p>
            <w:r>
              <w:t>Academic board structure; academic policies; program approval; academic decision records; responsibilities</w:t>
            </w:r>
          </w:p>
        </w:tc>
      </w:tr>
      <w:tr>
        <w:tc>
          <w:tcPr>
            <w:tcW w:type="dxa" w:w="4320"/>
          </w:tcPr>
          <w:p>
            <w:r>
              <w:t>9. Academic Programs and Curriculum</w:t>
            </w:r>
          </w:p>
        </w:tc>
        <w:tc>
          <w:tcPr>
            <w:tcW w:type="dxa" w:w="4320"/>
          </w:tcPr>
          <w:p>
            <w:r>
              <w:t>Program specifications; curricula; learning outcomes; approval/review records; mapping documents</w:t>
            </w:r>
          </w:p>
        </w:tc>
      </w:tr>
      <w:tr>
        <w:tc>
          <w:tcPr>
            <w:tcW w:type="dxa" w:w="4320"/>
          </w:tcPr>
          <w:p>
            <w:r>
              <w:t>10. Courses and Training Programs</w:t>
            </w:r>
          </w:p>
        </w:tc>
        <w:tc>
          <w:tcPr>
            <w:tcW w:type="dxa" w:w="4320"/>
          </w:tcPr>
          <w:p>
            <w:r>
              <w:t>Course catalog; syllabi; learning outcomes; duration/level; delivery method; completion requirements; training records</w:t>
            </w:r>
          </w:p>
        </w:tc>
      </w:tr>
      <w:tr>
        <w:tc>
          <w:tcPr>
            <w:tcW w:type="dxa" w:w="4320"/>
          </w:tcPr>
          <w:p>
            <w:r>
              <w:t>11. Teaching and Learning</w:t>
            </w:r>
          </w:p>
        </w:tc>
        <w:tc>
          <w:tcPr>
            <w:tcW w:type="dxa" w:w="4320"/>
          </w:tcPr>
          <w:p>
            <w:r>
              <w:t>Teaching policies; schedules; learning materials; delivery records; observation; online learning evidence</w:t>
            </w:r>
          </w:p>
        </w:tc>
      </w:tr>
      <w:tr>
        <w:tc>
          <w:tcPr>
            <w:tcW w:type="dxa" w:w="4320"/>
          </w:tcPr>
          <w:p>
            <w:r>
              <w:t>12. Faculty and Academic Staff</w:t>
            </w:r>
          </w:p>
        </w:tc>
        <w:tc>
          <w:tcPr>
            <w:tcW w:type="dxa" w:w="4320"/>
          </w:tcPr>
          <w:p>
            <w:r>
              <w:t>CVs/qualifications; contracts; role profiles; workload; evaluation; professional development</w:t>
            </w:r>
          </w:p>
        </w:tc>
      </w:tr>
      <w:tr>
        <w:tc>
          <w:tcPr>
            <w:tcW w:type="dxa" w:w="4320"/>
          </w:tcPr>
          <w:p>
            <w:r>
              <w:t>13. Student Admission and Enrollment</w:t>
            </w:r>
          </w:p>
        </w:tc>
        <w:tc>
          <w:tcPr>
            <w:tcW w:type="dxa" w:w="4320"/>
          </w:tcPr>
          <w:p>
            <w:r>
              <w:t>Admission criteria; application records; enrollment procedures; eligibility checks; student handbook</w:t>
            </w:r>
          </w:p>
        </w:tc>
      </w:tr>
      <w:tr>
        <w:tc>
          <w:tcPr>
            <w:tcW w:type="dxa" w:w="4320"/>
          </w:tcPr>
          <w:p>
            <w:r>
              <w:t>14. Student Support and Services</w:t>
            </w:r>
          </w:p>
        </w:tc>
        <w:tc>
          <w:tcPr>
            <w:tcW w:type="dxa" w:w="4320"/>
          </w:tcPr>
          <w:p>
            <w:r>
              <w:t>Support policies; advising; complaints/support records; accessibility support; student services information</w:t>
            </w:r>
          </w:p>
        </w:tc>
      </w:tr>
      <w:tr>
        <w:tc>
          <w:tcPr>
            <w:tcW w:type="dxa" w:w="4320"/>
          </w:tcPr>
          <w:p>
            <w:r>
              <w:t>15. Assessment and Examination</w:t>
            </w:r>
          </w:p>
        </w:tc>
        <w:tc>
          <w:tcPr>
            <w:tcW w:type="dxa" w:w="4320"/>
          </w:tcPr>
          <w:p>
            <w:r>
              <w:t>Assessment policy; examination procedures; assessment samples; grading; moderation; examination security</w:t>
            </w:r>
          </w:p>
        </w:tc>
      </w:tr>
      <w:tr>
        <w:tc>
          <w:tcPr>
            <w:tcW w:type="dxa" w:w="4320"/>
          </w:tcPr>
          <w:p>
            <w:r>
              <w:t>16. Academic Integrity and Ethical Conduct</w:t>
            </w:r>
          </w:p>
        </w:tc>
        <w:tc>
          <w:tcPr>
            <w:tcW w:type="dxa" w:w="4320"/>
          </w:tcPr>
          <w:p>
            <w:r>
              <w:t>Academic integrity policy; plagiarism controls; misconduct procedures; ethics statements; disciplinary records where appropriate</w:t>
            </w:r>
          </w:p>
        </w:tc>
      </w:tr>
      <w:tr>
        <w:tc>
          <w:tcPr>
            <w:tcW w:type="dxa" w:w="4320"/>
          </w:tcPr>
          <w:p>
            <w:r>
              <w:t>17. Certificates, Awards and Institutional Documentation</w:t>
            </w:r>
          </w:p>
        </w:tc>
        <w:tc>
          <w:tcPr>
            <w:tcW w:type="dxa" w:w="4320"/>
          </w:tcPr>
          <w:p>
            <w:r>
              <w:t>Certificate templates; award records; issuance controls; verification method; title/level controls; public descriptions</w:t>
            </w:r>
          </w:p>
        </w:tc>
      </w:tr>
      <w:tr>
        <w:tc>
          <w:tcPr>
            <w:tcW w:type="dxa" w:w="4320"/>
          </w:tcPr>
          <w:p>
            <w:r>
              <w:t>18. Learning Resources, Facilities and Infrastructure</w:t>
            </w:r>
          </w:p>
        </w:tc>
        <w:tc>
          <w:tcPr>
            <w:tcW w:type="dxa" w:w="4320"/>
          </w:tcPr>
          <w:p>
            <w:r>
              <w:t>Facilities records; equipment; library/resources; maintenance; health/safety arrangements; capacity evidence</w:t>
            </w:r>
          </w:p>
        </w:tc>
      </w:tr>
      <w:tr>
        <w:tc>
          <w:tcPr>
            <w:tcW w:type="dxa" w:w="4320"/>
          </w:tcPr>
          <w:p>
            <w:r>
              <w:t>19. Digital Learning and Information Technology</w:t>
            </w:r>
          </w:p>
        </w:tc>
        <w:tc>
          <w:tcPr>
            <w:tcW w:type="dxa" w:w="4320"/>
          </w:tcPr>
          <w:p>
            <w:r>
              <w:t>LMS/platform information; access controls; online course evidence; IT support; continuity/back-up arrangements</w:t>
            </w:r>
          </w:p>
        </w:tc>
      </w:tr>
      <w:tr>
        <w:tc>
          <w:tcPr>
            <w:tcW w:type="dxa" w:w="4320"/>
          </w:tcPr>
          <w:p>
            <w:r>
              <w:t>20. Student Records and Information Management</w:t>
            </w:r>
          </w:p>
        </w:tc>
        <w:tc>
          <w:tcPr>
            <w:tcW w:type="dxa" w:w="4320"/>
          </w:tcPr>
          <w:p>
            <w:r>
              <w:t>Record systems; retention rules; privacy/confidentiality controls; access permissions; transcript/record procedures</w:t>
            </w:r>
          </w:p>
        </w:tc>
      </w:tr>
      <w:tr>
        <w:tc>
          <w:tcPr>
            <w:tcW w:type="dxa" w:w="4320"/>
          </w:tcPr>
          <w:p>
            <w:r>
              <w:t>21. Research and Scholarly Activities</w:t>
            </w:r>
          </w:p>
        </w:tc>
        <w:tc>
          <w:tcPr>
            <w:tcW w:type="dxa" w:w="4320"/>
          </w:tcPr>
          <w:p>
            <w:r>
              <w:t>Research policy; research governance; projects/publications; ethics review where applicable; staff/student research support</w:t>
            </w:r>
          </w:p>
        </w:tc>
      </w:tr>
      <w:tr>
        <w:tc>
          <w:tcPr>
            <w:tcW w:type="dxa" w:w="4320"/>
          </w:tcPr>
          <w:p>
            <w:r>
              <w:t>22. Quality Assurance and Institutional Evaluation</w:t>
            </w:r>
          </w:p>
        </w:tc>
        <w:tc>
          <w:tcPr>
            <w:tcW w:type="dxa" w:w="4320"/>
          </w:tcPr>
          <w:p>
            <w:r>
              <w:t>QA framework; internal reviews; KPIs; surveys; audits; action plans; effectiveness reviews</w:t>
            </w:r>
          </w:p>
        </w:tc>
      </w:tr>
      <w:tr>
        <w:tc>
          <w:tcPr>
            <w:tcW w:type="dxa" w:w="4320"/>
          </w:tcPr>
          <w:p>
            <w:r>
              <w:t>23. Complaints, Appeals and Feedback</w:t>
            </w:r>
          </w:p>
        </w:tc>
        <w:tc>
          <w:tcPr>
            <w:tcW w:type="dxa" w:w="4320"/>
          </w:tcPr>
          <w:p>
            <w:r>
              <w:t>Complaint policy; appeal process; registers; outcomes; feedback surveys; improvement actions</w:t>
            </w:r>
          </w:p>
        </w:tc>
      </w:tr>
      <w:tr>
        <w:tc>
          <w:tcPr>
            <w:tcW w:type="dxa" w:w="4320"/>
          </w:tcPr>
          <w:p>
            <w:r>
              <w:t>24. Financial and Operational Sustainability</w:t>
            </w:r>
          </w:p>
        </w:tc>
        <w:tc>
          <w:tcPr>
            <w:tcW w:type="dxa" w:w="4320"/>
          </w:tcPr>
          <w:p>
            <w:r>
              <w:t>Budget; financial controls; resource planning; staffing/resource forecasts; operational plans</w:t>
            </w:r>
          </w:p>
        </w:tc>
      </w:tr>
      <w:tr>
        <w:tc>
          <w:tcPr>
            <w:tcW w:type="dxa" w:w="4320"/>
          </w:tcPr>
          <w:p>
            <w:r>
              <w:t>25. Risk Management and Continuity</w:t>
            </w:r>
          </w:p>
        </w:tc>
        <w:tc>
          <w:tcPr>
            <w:tcW w:type="dxa" w:w="4320"/>
          </w:tcPr>
          <w:p>
            <w:r>
              <w:t>Risk register; continuity plan; emergency procedures; backup arrangements; incident records; recovery testing where applicable</w:t>
            </w:r>
          </w:p>
        </w:tc>
      </w:tr>
      <w:tr>
        <w:tc>
          <w:tcPr>
            <w:tcW w:type="dxa" w:w="4320"/>
          </w:tcPr>
          <w:p>
            <w:r>
              <w:t>26. Accessibility and Inclusion</w:t>
            </w:r>
          </w:p>
        </w:tc>
        <w:tc>
          <w:tcPr>
            <w:tcW w:type="dxa" w:w="4320"/>
          </w:tcPr>
          <w:p>
            <w:r>
              <w:t>Accessibility policy; reasonable adjustments; inclusive learning arrangements; support mechanisms</w:t>
            </w:r>
          </w:p>
        </w:tc>
      </w:tr>
      <w:tr>
        <w:tc>
          <w:tcPr>
            <w:tcW w:type="dxa" w:w="4320"/>
          </w:tcPr>
          <w:p>
            <w:r>
              <w:t>27. Public Information and Transparency</w:t>
            </w:r>
          </w:p>
        </w:tc>
        <w:tc>
          <w:tcPr>
            <w:tcW w:type="dxa" w:w="4320"/>
          </w:tcPr>
          <w:p>
            <w:r>
              <w:t>Website; prospectus; advertising; published programs; fees; admission information; accreditation claims; certificate representations</w:t>
            </w:r>
          </w:p>
        </w:tc>
      </w:tr>
      <w:tr>
        <w:tc>
          <w:tcPr>
            <w:tcW w:type="dxa" w:w="4320"/>
          </w:tcPr>
          <w:p>
            <w:r>
              <w:t>28. Continuous Improvement</w:t>
            </w:r>
          </w:p>
        </w:tc>
        <w:tc>
          <w:tcPr>
            <w:tcW w:type="dxa" w:w="4320"/>
          </w:tcPr>
          <w:p>
            <w:r>
              <w:t>Improvement plans; corrective actions; review minutes; performance trends; effectiveness evidence</w:t>
            </w:r>
          </w:p>
        </w:tc>
      </w:tr>
    </w:tbl>
    <w:p>
      <w:pPr>
        <w:pStyle w:val="Heading1"/>
      </w:pPr>
      <w:r>
        <w:t>4. High-Risk Evidence Areas</w:t>
      </w:r>
    </w:p>
    <w:p>
      <w:pPr>
        <w:pStyle w:val="ListBullet"/>
      </w:pPr>
      <w:r>
        <w:t>Institutional legal identity and authority to operate.</w:t>
      </w:r>
    </w:p>
    <w:p>
      <w:pPr>
        <w:pStyle w:val="ListBullet"/>
      </w:pPr>
      <w:r>
        <w:t>Accuracy of qualifications, awards, certificates and titles.</w:t>
      </w:r>
    </w:p>
    <w:p>
      <w:pPr>
        <w:pStyle w:val="ListBullet"/>
      </w:pPr>
      <w:r>
        <w:t>Assessment and examination integrity.</w:t>
      </w:r>
    </w:p>
    <w:p>
      <w:pPr>
        <w:pStyle w:val="ListBullet"/>
      </w:pPr>
      <w:r>
        <w:t>Student records and confidentiality.</w:t>
      </w:r>
    </w:p>
    <w:p>
      <w:pPr>
        <w:pStyle w:val="ListBullet"/>
      </w:pPr>
      <w:r>
        <w:t>Public claims concerning accreditation or recognition.</w:t>
      </w:r>
    </w:p>
    <w:p>
      <w:pPr>
        <w:pStyle w:val="ListBullet"/>
      </w:pPr>
      <w:r>
        <w:t>Authenticity and traceability of submitted evidence.</w:t>
      </w:r>
    </w:p>
    <w:p>
      <w:pPr>
        <w:pStyle w:val="ListBullet"/>
      </w:pPr>
      <w:r>
        <w:t>Learner protection and material complaints.</w:t>
      </w:r>
    </w:p>
    <w:p>
      <w:pPr>
        <w:pStyle w:val="ListBullet"/>
      </w:pPr>
      <w:r>
        <w:t>Material differences between documented policy and actual practice.</w:t>
      </w:r>
    </w:p>
    <w:p>
      <w:pPr>
        <w:pStyle w:val="Heading1"/>
      </w:pPr>
      <w:r>
        <w:t>5. Institutional Self-Evaluation Method</w:t>
      </w:r>
    </w:p>
    <w:p>
      <w:r>
        <w:t>For each applicable ISEC 101:2026 requirement, the institution should identify its current level of conformity, evidence, gaps, responsible person and planned action. The institution should not mark a requirement as fully demonstrated solely because a policy exists; implementation evidence should be considered where applicable.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Clause</w:t>
            </w:r>
          </w:p>
        </w:tc>
        <w:tc>
          <w:tcPr>
            <w:tcW w:type="dxa" w:w="1440"/>
          </w:tcPr>
          <w:p>
            <w:r>
              <w:t>Self-Rating 0–4</w:t>
            </w:r>
          </w:p>
        </w:tc>
        <w:tc>
          <w:tcPr>
            <w:tcW w:type="dxa" w:w="1440"/>
          </w:tcPr>
          <w:p>
            <w:r>
              <w:t>Evidence Reference</w:t>
            </w:r>
          </w:p>
        </w:tc>
        <w:tc>
          <w:tcPr>
            <w:tcW w:type="dxa" w:w="1440"/>
          </w:tcPr>
          <w:p>
            <w:r>
              <w:t>Current Conformity / Explanation</w:t>
            </w:r>
          </w:p>
        </w:tc>
        <w:tc>
          <w:tcPr>
            <w:tcW w:type="dxa" w:w="1440"/>
          </w:tcPr>
          <w:p>
            <w:r>
              <w:t>Gap</w:t>
            </w:r>
          </w:p>
        </w:tc>
        <w:tc>
          <w:tcPr>
            <w:tcW w:type="dxa" w:w="1440"/>
          </w:tcPr>
          <w:p>
            <w:r>
              <w:t>Action / Owner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</w:tbl>
    <w:p>
      <w:pPr>
        <w:pStyle w:val="Heading1"/>
      </w:pPr>
      <w:r>
        <w:t>6. Evidence Index</w:t>
      </w:r>
    </w:p>
    <w:p>
      <w:r>
        <w:t>Institutions should maintain an evidence index so evaluators can locate documents quickly.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Evidence ID</w:t>
            </w:r>
          </w:p>
        </w:tc>
        <w:tc>
          <w:tcPr>
            <w:tcW w:type="dxa" w:w="1728"/>
          </w:tcPr>
          <w:p>
            <w:r>
              <w:t>Document / Record</w:t>
            </w:r>
          </w:p>
        </w:tc>
        <w:tc>
          <w:tcPr>
            <w:tcW w:type="dxa" w:w="1728"/>
          </w:tcPr>
          <w:p>
            <w:r>
              <w:t>Clause(s)</w:t>
            </w:r>
          </w:p>
        </w:tc>
        <w:tc>
          <w:tcPr>
            <w:tcW w:type="dxa" w:w="1728"/>
          </w:tcPr>
          <w:p>
            <w:r>
              <w:t>Date / Version</w:t>
            </w:r>
          </w:p>
        </w:tc>
        <w:tc>
          <w:tcPr>
            <w:tcW w:type="dxa" w:w="1728"/>
          </w:tcPr>
          <w:p>
            <w:r>
              <w:t>Location / Link</w:t>
            </w:r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</w:tbl>
    <w:p>
      <w:pPr>
        <w:pStyle w:val="Heading1"/>
      </w:pPr>
      <w:r>
        <w:t>7. Evidence Validity and Authenticity</w:t>
      </w:r>
    </w:p>
    <w:p>
      <w:pPr>
        <w:pStyle w:val="ListBullet"/>
      </w:pPr>
      <w:r>
        <w:t>The institution should submit documents under its control or identify their authoritative source.</w:t>
      </w:r>
    </w:p>
    <w:p>
      <w:pPr>
        <w:pStyle w:val="ListBullet"/>
      </w:pPr>
      <w:r>
        <w:t>Superseded documents should be clearly marked where relevant.</w:t>
      </w:r>
    </w:p>
    <w:p>
      <w:pPr>
        <w:pStyle w:val="ListBullet"/>
      </w:pPr>
      <w:r>
        <w:t>Evidence created specifically for the evaluation should be identified as such.</w:t>
      </w:r>
    </w:p>
    <w:p>
      <w:pPr>
        <w:pStyle w:val="ListBullet"/>
      </w:pPr>
      <w:r>
        <w:t>Copies should be complete and legible.</w:t>
      </w:r>
    </w:p>
    <w:p>
      <w:pPr>
        <w:pStyle w:val="ListBullet"/>
      </w:pPr>
      <w:r>
        <w:t>Where evidence is external, its source and relationship to the institution should be clear.</w:t>
      </w:r>
    </w:p>
    <w:p>
      <w:pPr>
        <w:pStyle w:val="Heading1"/>
      </w:pPr>
      <w:r>
        <w:t>8. Self-Evaluation Summary</w:t>
      </w:r>
    </w:p>
    <w:p>
      <w:r>
        <w:t>Overall institutional strengths: ______________________________________________</w:t>
      </w:r>
    </w:p>
    <w:p>
      <w:r>
        <w:t>Material gaps: _____________________________________________________________</w:t>
      </w:r>
    </w:p>
    <w:p>
      <w:r>
        <w:t>Critical risks requiring immediate attention: __________________________________</w:t>
      </w:r>
    </w:p>
    <w:p>
      <w:r>
        <w:t>Improvement priorities: ____________________________________________________</w:t>
      </w:r>
    </w:p>
    <w:p>
      <w:r>
        <w:t>Institutional leadership statement: __________________________________________</w:t>
      </w:r>
    </w:p>
    <w:p>
      <w:pPr>
        <w:pStyle w:val="Heading1"/>
      </w:pPr>
      <w:r>
        <w:t>Annex A — Suggested Evidence Coding</w:t>
      </w:r>
    </w:p>
    <w:p>
      <w:r>
        <w:t>Use a simple controlled code such as GOV-01, ACA-01, CUR-01, AST-01, STU-01, FAC-01, QA-01 and PUB-01. The exact coding system may be adapted by the institution provided traceability is maintained.</w:t>
      </w:r>
    </w:p>
    <w:p>
      <w:pPr>
        <w:pStyle w:val="Heading1"/>
      </w:pPr>
      <w:r>
        <w:t>Annex B — Evaluator Evidence Test</w:t>
      </w:r>
    </w:p>
    <w:p>
      <w:pPr>
        <w:pStyle w:val="ListBullet"/>
      </w:pPr>
      <w:r>
        <w:t>Is the evidence directly relevant?</w:t>
      </w:r>
    </w:p>
    <w:p>
      <w:pPr>
        <w:pStyle w:val="ListBullet"/>
      </w:pPr>
      <w:r>
        <w:t>Does it demonstrate the requirement rather than merely mention it?</w:t>
      </w:r>
    </w:p>
    <w:p>
      <w:pPr>
        <w:pStyle w:val="ListBullet"/>
      </w:pPr>
      <w:r>
        <w:t>Is it implemented in practice where applicable?</w:t>
      </w:r>
    </w:p>
    <w:p>
      <w:pPr>
        <w:pStyle w:val="ListBullet"/>
      </w:pPr>
      <w:r>
        <w:t>Is it current enough?</w:t>
      </w:r>
    </w:p>
    <w:p>
      <w:pPr>
        <w:pStyle w:val="ListBullet"/>
      </w:pPr>
      <w:r>
        <w:t>Is it internally consistent with other evidence?</w:t>
      </w:r>
    </w:p>
    <w:p>
      <w:pPr>
        <w:pStyle w:val="ListBullet"/>
      </w:pPr>
      <w:r>
        <w:t>Can it be reasonably verified?</w:t>
      </w:r>
    </w:p>
    <w:p>
      <w:pPr>
        <w:pStyle w:val="ListBullet"/>
      </w:pPr>
      <w:r>
        <w:t>Does sampling support the conclusion?</w:t>
      </w:r>
    </w:p>
    <w:p>
      <w:pPr>
        <w:pStyle w:val="Heading1"/>
      </w:pPr>
      <w:r>
        <w:t>Annex C — Self-Evaluation Completion Checklist</w:t>
      </w:r>
    </w:p>
    <w:p>
      <w:r>
        <w:t>☐ All applicable clauses reviewed</w:t>
      </w:r>
    </w:p>
    <w:p>
      <w:r>
        <w:t>☐ N/A items justified</w:t>
      </w:r>
    </w:p>
    <w:p>
      <w:r>
        <w:t>☐ Evidence references complete</w:t>
      </w:r>
    </w:p>
    <w:p>
      <w:r>
        <w:t>☐ Material gaps disclosed</w:t>
      </w:r>
    </w:p>
    <w:p>
      <w:r>
        <w:t>☐ Corrective actions assigned</w:t>
      </w:r>
    </w:p>
    <w:p>
      <w:r>
        <w:t>☐ Responsible persons identified</w:t>
      </w:r>
    </w:p>
    <w:p>
      <w:r>
        <w:t>☐ Target dates identified</w:t>
      </w:r>
    </w:p>
    <w:p>
      <w:r>
        <w:t>☐ Public information checked for accuracy</w:t>
      </w:r>
    </w:p>
    <w:p>
      <w:r>
        <w:t>☐ Certificates/awards/titles reviewed for consistency</w:t>
      </w:r>
    </w:p>
    <w:p>
      <w:r>
        <w:t>☐ Leadership approval completed</w:t>
      </w:r>
    </w:p>
    <w:p>
      <w:pPr>
        <w:pStyle w:val="Heading1"/>
      </w:pPr>
      <w:r>
        <w:t>Development Control Note</w:t>
      </w:r>
    </w:p>
    <w:p>
      <w:r>
        <w:t>This is a Working Master. The evidence matrix should be reconciled with the final wording and clause structure of ISEC 101:2026 before publication. Evidence examples are indicative and shall not be treated as additional mandatory requirements unless incorporated into a controlled ISEC document.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